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63FCF" w14:textId="5138FC5C" w:rsidR="00961921" w:rsidRPr="00961921" w:rsidRDefault="00961921" w:rsidP="00961921">
      <w:pPr>
        <w:pStyle w:val="Heading4"/>
        <w:spacing w:before="100" w:beforeAutospacing="1" w:after="100" w:afterAutospacing="1" w:line="252" w:lineRule="auto"/>
        <w:jc w:val="center"/>
        <w:rPr>
          <w:rFonts w:ascii="Century Gothic" w:eastAsiaTheme="majorEastAsia" w:hAnsi="Century Gothic" w:cstheme="majorBidi"/>
          <w:iCs/>
          <w:sz w:val="22"/>
          <w:szCs w:val="22"/>
          <w:lang w:val="en-US"/>
        </w:rPr>
      </w:pPr>
      <w:r w:rsidRPr="00961921">
        <w:rPr>
          <w:rFonts w:ascii="Century Gothic" w:eastAsiaTheme="majorEastAsia" w:hAnsi="Century Gothic" w:cstheme="majorBidi"/>
          <w:iCs/>
          <w:sz w:val="22"/>
          <w:szCs w:val="22"/>
          <w:lang w:val="en-US"/>
        </w:rPr>
        <w:t>CEFR Companion Volume implementation toolbox</w:t>
      </w:r>
    </w:p>
    <w:p w14:paraId="33AF9D3E" w14:textId="032544B0" w:rsidR="00E317AD" w:rsidRPr="00961921" w:rsidRDefault="005719A2" w:rsidP="00961921">
      <w:pPr>
        <w:pStyle w:val="Title"/>
        <w:spacing w:before="100" w:beforeAutospacing="1" w:after="100" w:afterAutospacing="1" w:line="252" w:lineRule="auto"/>
        <w:contextualSpacing w:val="0"/>
        <w:jc w:val="center"/>
        <w:rPr>
          <w:rFonts w:ascii="Century Gothic" w:eastAsiaTheme="majorEastAsia" w:hAnsi="Century Gothic" w:cstheme="majorBidi"/>
          <w:b/>
          <w:iCs w:val="0"/>
          <w:color w:val="auto"/>
          <w:spacing w:val="-7"/>
        </w:rPr>
      </w:pPr>
      <w:r w:rsidRPr="00961921">
        <w:rPr>
          <w:rFonts w:ascii="Century Gothic" w:eastAsiaTheme="majorEastAsia" w:hAnsi="Century Gothic" w:cstheme="majorBidi"/>
          <w:b/>
          <w:iCs w:val="0"/>
          <w:color w:val="auto"/>
          <w:spacing w:val="-7"/>
        </w:rPr>
        <w:t xml:space="preserve">Example 3: </w:t>
      </w:r>
      <w:r>
        <w:rPr>
          <w:rFonts w:ascii="Century Gothic" w:eastAsiaTheme="majorEastAsia" w:hAnsi="Century Gothic" w:cstheme="majorBidi"/>
          <w:b/>
          <w:iCs w:val="0"/>
          <w:color w:val="auto"/>
          <w:spacing w:val="-7"/>
        </w:rPr>
        <w:br/>
      </w:r>
      <w:r w:rsidRPr="00961921">
        <w:rPr>
          <w:rFonts w:ascii="Century Gothic" w:eastAsiaTheme="majorEastAsia" w:hAnsi="Century Gothic" w:cstheme="majorBidi"/>
          <w:b/>
          <w:iCs w:val="0"/>
          <w:color w:val="auto"/>
          <w:spacing w:val="-7"/>
        </w:rPr>
        <w:t>Mediating text, mediating concepts</w:t>
      </w:r>
    </w:p>
    <w:tbl>
      <w:tblPr>
        <w:tblStyle w:val="TableGrid"/>
        <w:tblW w:w="0" w:type="auto"/>
        <w:tblLook w:val="04A0" w:firstRow="1" w:lastRow="0" w:firstColumn="1" w:lastColumn="0" w:noHBand="0" w:noVBand="1"/>
      </w:tblPr>
      <w:tblGrid>
        <w:gridCol w:w="9016"/>
      </w:tblGrid>
      <w:tr w:rsidR="00E317AD" w14:paraId="15D10DEE" w14:textId="77777777">
        <w:tc>
          <w:tcPr>
            <w:tcW w:w="9016" w:type="dxa"/>
            <w:tcBorders>
              <w:top w:val="single" w:sz="4" w:space="0" w:color="auto"/>
              <w:left w:val="single" w:sz="4" w:space="0" w:color="auto"/>
              <w:bottom w:val="single" w:sz="4" w:space="0" w:color="auto"/>
              <w:right w:val="single" w:sz="4" w:space="0" w:color="auto"/>
            </w:tcBorders>
          </w:tcPr>
          <w:p w14:paraId="73300F8A" w14:textId="77777777" w:rsidR="00E317AD" w:rsidRDefault="005719A2">
            <w:pPr>
              <w:tabs>
                <w:tab w:val="left" w:pos="1426"/>
              </w:tabs>
              <w:spacing w:before="120"/>
              <w:rPr>
                <w:sz w:val="22"/>
                <w:szCs w:val="22"/>
                <w:lang w:val="en-GB"/>
              </w:rPr>
            </w:pPr>
            <w:r>
              <w:rPr>
                <w:b/>
                <w:lang w:val="en-GB"/>
              </w:rPr>
              <w:t xml:space="preserve">Title: </w:t>
            </w:r>
            <w:r>
              <w:rPr>
                <w:b/>
                <w:lang w:val="en-GB"/>
              </w:rPr>
              <w:tab/>
              <w:t>Touchscreens</w:t>
            </w:r>
          </w:p>
        </w:tc>
      </w:tr>
      <w:tr w:rsidR="00E317AD" w14:paraId="637148DA" w14:textId="77777777">
        <w:tc>
          <w:tcPr>
            <w:tcW w:w="9016" w:type="dxa"/>
            <w:tcBorders>
              <w:top w:val="single" w:sz="4" w:space="0" w:color="auto"/>
              <w:left w:val="single" w:sz="4" w:space="0" w:color="auto"/>
              <w:bottom w:val="single" w:sz="4" w:space="0" w:color="auto"/>
              <w:right w:val="single" w:sz="4" w:space="0" w:color="auto"/>
            </w:tcBorders>
          </w:tcPr>
          <w:p w14:paraId="1010336A" w14:textId="77777777" w:rsidR="00E317AD" w:rsidRDefault="005719A2">
            <w:pPr>
              <w:spacing w:before="120"/>
              <w:ind w:left="1450" w:hanging="1418"/>
              <w:jc w:val="left"/>
              <w:rPr>
                <w:lang w:val="en-GB"/>
              </w:rPr>
            </w:pPr>
            <w:r>
              <w:rPr>
                <w:lang w:val="en-GB"/>
              </w:rPr>
              <w:t xml:space="preserve">Language: </w:t>
            </w:r>
            <w:r>
              <w:rPr>
                <w:lang w:val="en-GB"/>
              </w:rPr>
              <w:tab/>
              <w:t>German and possibly other languages that learners can use to find relevant information</w:t>
            </w:r>
          </w:p>
          <w:p w14:paraId="589115B7" w14:textId="77777777" w:rsidR="00E317AD" w:rsidRDefault="005719A2">
            <w:pPr>
              <w:tabs>
                <w:tab w:val="left" w:pos="1426"/>
              </w:tabs>
              <w:spacing w:before="120"/>
              <w:jc w:val="left"/>
              <w:rPr>
                <w:lang w:val="en-GB"/>
              </w:rPr>
            </w:pPr>
            <w:r>
              <w:rPr>
                <w:lang w:val="en-GB"/>
              </w:rPr>
              <w:t xml:space="preserve">CEFR Level: </w:t>
            </w:r>
            <w:r>
              <w:rPr>
                <w:lang w:val="en-GB"/>
              </w:rPr>
              <w:tab/>
              <w:t>B2</w:t>
            </w:r>
          </w:p>
          <w:p w14:paraId="50FAEDC3" w14:textId="77777777" w:rsidR="00E317AD" w:rsidRDefault="005719A2">
            <w:pPr>
              <w:tabs>
                <w:tab w:val="left" w:pos="1426"/>
              </w:tabs>
              <w:spacing w:before="120"/>
              <w:jc w:val="left"/>
              <w:rPr>
                <w:lang w:val="en-GB"/>
              </w:rPr>
            </w:pPr>
            <w:r>
              <w:rPr>
                <w:lang w:val="en-GB"/>
              </w:rPr>
              <w:t xml:space="preserve">Target group: </w:t>
            </w:r>
            <w:r>
              <w:rPr>
                <w:lang w:val="en-GB"/>
              </w:rPr>
              <w:tab/>
              <w:t xml:space="preserve">electronics students </w:t>
            </w:r>
          </w:p>
          <w:p w14:paraId="45803B57" w14:textId="77777777" w:rsidR="00E317AD" w:rsidRDefault="005719A2">
            <w:pPr>
              <w:tabs>
                <w:tab w:val="left" w:pos="1426"/>
              </w:tabs>
              <w:spacing w:before="120"/>
              <w:jc w:val="left"/>
              <w:rPr>
                <w:lang w:val="en-GB"/>
              </w:rPr>
            </w:pPr>
            <w:r>
              <w:rPr>
                <w:lang w:val="en-GB"/>
              </w:rPr>
              <w:t xml:space="preserve">Purpose: </w:t>
            </w:r>
            <w:r>
              <w:rPr>
                <w:lang w:val="en-GB"/>
              </w:rPr>
              <w:tab/>
              <w:t xml:space="preserve">Teaching </w:t>
            </w:r>
          </w:p>
        </w:tc>
      </w:tr>
      <w:tr w:rsidR="00E317AD" w14:paraId="2D858061" w14:textId="77777777">
        <w:tc>
          <w:tcPr>
            <w:tcW w:w="9016" w:type="dxa"/>
            <w:tcBorders>
              <w:top w:val="single" w:sz="4" w:space="0" w:color="auto"/>
              <w:left w:val="single" w:sz="4" w:space="0" w:color="auto"/>
              <w:bottom w:val="single" w:sz="4" w:space="0" w:color="auto"/>
              <w:right w:val="single" w:sz="4" w:space="0" w:color="auto"/>
            </w:tcBorders>
          </w:tcPr>
          <w:p w14:paraId="0C04C1A5" w14:textId="77777777" w:rsidR="00E317AD" w:rsidRDefault="005719A2">
            <w:pPr>
              <w:spacing w:before="120"/>
              <w:rPr>
                <w:lang w:val="en-GB"/>
              </w:rPr>
            </w:pPr>
            <w:r>
              <w:rPr>
                <w:lang w:val="en-GB"/>
              </w:rPr>
              <w:t xml:space="preserve">Author: </w:t>
            </w:r>
            <w:r>
              <w:rPr>
                <w:lang w:val="en-GB"/>
              </w:rPr>
              <w:tab/>
            </w:r>
            <w:r>
              <w:rPr>
                <w:lang w:val="en-GB"/>
              </w:rPr>
              <w:tab/>
              <w:t xml:space="preserve">Ewa </w:t>
            </w:r>
            <w:proofErr w:type="spellStart"/>
            <w:r>
              <w:rPr>
                <w:lang w:val="en-GB"/>
              </w:rPr>
              <w:t>Kapałczyńska</w:t>
            </w:r>
            <w:proofErr w:type="spellEnd"/>
            <w:r>
              <w:rPr>
                <w:lang w:val="en-GB"/>
              </w:rPr>
              <w:t xml:space="preserve"> (Poznan University of Technology)</w:t>
            </w:r>
          </w:p>
        </w:tc>
      </w:tr>
    </w:tbl>
    <w:p w14:paraId="759ACDDF" w14:textId="77777777" w:rsidR="00E317AD" w:rsidRDefault="00E317AD">
      <w:pPr>
        <w:spacing w:before="120"/>
        <w:rPr>
          <w:sz w:val="22"/>
          <w:szCs w:val="22"/>
        </w:rPr>
      </w:pPr>
    </w:p>
    <w:tbl>
      <w:tblPr>
        <w:tblStyle w:val="TableGrid"/>
        <w:tblW w:w="0" w:type="auto"/>
        <w:tblLook w:val="04A0" w:firstRow="1" w:lastRow="0" w:firstColumn="1" w:lastColumn="0" w:noHBand="0" w:noVBand="1"/>
      </w:tblPr>
      <w:tblGrid>
        <w:gridCol w:w="9062"/>
      </w:tblGrid>
      <w:tr w:rsidR="00E317AD" w14:paraId="6E2B8C97" w14:textId="77777777">
        <w:tc>
          <w:tcPr>
            <w:tcW w:w="9062" w:type="dxa"/>
            <w:tcBorders>
              <w:top w:val="single" w:sz="4" w:space="0" w:color="auto"/>
              <w:left w:val="single" w:sz="4" w:space="0" w:color="auto"/>
              <w:bottom w:val="single" w:sz="4" w:space="0" w:color="auto"/>
              <w:right w:val="single" w:sz="4" w:space="0" w:color="auto"/>
            </w:tcBorders>
          </w:tcPr>
          <w:p w14:paraId="4ED8CC89" w14:textId="77777777" w:rsidR="00E317AD" w:rsidRDefault="005719A2">
            <w:pPr>
              <w:spacing w:before="120"/>
              <w:rPr>
                <w:bCs w:val="0"/>
                <w:sz w:val="22"/>
                <w:szCs w:val="22"/>
                <w:lang w:val="en-GB"/>
              </w:rPr>
            </w:pPr>
            <w:r>
              <w:rPr>
                <w:b/>
                <w:lang w:val="en-GB"/>
              </w:rPr>
              <w:t xml:space="preserve">Goals of the activity: </w:t>
            </w:r>
            <w:r>
              <w:rPr>
                <w:bCs w:val="0"/>
                <w:lang w:val="en-GB"/>
              </w:rPr>
              <w:t>practicing reading for specific information;</w:t>
            </w:r>
            <w:r>
              <w:rPr>
                <w:b/>
                <w:lang w:val="en-GB"/>
              </w:rPr>
              <w:t xml:space="preserve"> </w:t>
            </w:r>
            <w:r>
              <w:rPr>
                <w:bCs w:val="0"/>
                <w:lang w:val="en-GB"/>
              </w:rPr>
              <w:t>collaborating to prepare a poster on a topic related to the field of studies; presenting the information to a group of students.</w:t>
            </w:r>
          </w:p>
        </w:tc>
      </w:tr>
    </w:tbl>
    <w:p w14:paraId="17BD817B" w14:textId="77777777" w:rsidR="00E317AD" w:rsidRDefault="00E317AD">
      <w:pPr>
        <w:spacing w:before="120"/>
        <w:rPr>
          <w:sz w:val="22"/>
          <w:szCs w:val="22"/>
        </w:rPr>
      </w:pPr>
    </w:p>
    <w:tbl>
      <w:tblPr>
        <w:tblStyle w:val="TableGrid"/>
        <w:tblW w:w="0" w:type="auto"/>
        <w:tblLook w:val="04A0" w:firstRow="1" w:lastRow="0" w:firstColumn="1" w:lastColumn="0" w:noHBand="0" w:noVBand="1"/>
      </w:tblPr>
      <w:tblGrid>
        <w:gridCol w:w="9062"/>
      </w:tblGrid>
      <w:tr w:rsidR="00E317AD" w14:paraId="550ECF52" w14:textId="77777777">
        <w:tc>
          <w:tcPr>
            <w:tcW w:w="9062" w:type="dxa"/>
            <w:tcBorders>
              <w:top w:val="single" w:sz="4" w:space="0" w:color="auto"/>
              <w:left w:val="single" w:sz="4" w:space="0" w:color="auto"/>
              <w:bottom w:val="single" w:sz="4" w:space="0" w:color="auto"/>
              <w:right w:val="single" w:sz="4" w:space="0" w:color="auto"/>
            </w:tcBorders>
          </w:tcPr>
          <w:p w14:paraId="5C1D12A4" w14:textId="77777777" w:rsidR="00E317AD" w:rsidRDefault="005719A2">
            <w:pPr>
              <w:spacing w:before="120"/>
              <w:rPr>
                <w:b/>
                <w:bCs w:val="0"/>
                <w:sz w:val="22"/>
                <w:szCs w:val="22"/>
                <w:lang w:val="de-DE"/>
              </w:rPr>
            </w:pPr>
            <w:r>
              <w:rPr>
                <w:b/>
                <w:bCs w:val="0"/>
                <w:lang w:val="de-DE"/>
              </w:rPr>
              <w:t>Beschreibung der Aktivität</w:t>
            </w:r>
          </w:p>
          <w:p w14:paraId="6260F7F1" w14:textId="77777777" w:rsidR="00E317AD" w:rsidRDefault="005719A2">
            <w:pPr>
              <w:spacing w:before="120"/>
              <w:rPr>
                <w:lang w:val="de-DE"/>
              </w:rPr>
            </w:pPr>
            <w:r>
              <w:rPr>
                <w:lang w:val="de-DE"/>
              </w:rPr>
              <w:t>Schritt 1: Vorbereitung</w:t>
            </w:r>
          </w:p>
          <w:p w14:paraId="3D14B4A3" w14:textId="77777777" w:rsidR="00E317AD" w:rsidRDefault="005719A2">
            <w:pPr>
              <w:spacing w:before="120"/>
              <w:rPr>
                <w:lang w:val="de-DE"/>
              </w:rPr>
            </w:pPr>
            <w:r>
              <w:rPr>
                <w:lang w:val="de-DE"/>
              </w:rPr>
              <w:t xml:space="preserve">Die Klasse wird in Gruppen aufgeteilt (Expert*innengruppen). Jede Gruppe beschäftigt sich mit einer anderen Art von Touchscreen-Technologie. Zu diesem Zweck werden Texte von Websites an die Gruppen ausgeteilt. Die Schüler*innen jeder Gruppe lesen ihre Texte, um Schlüsselinformationen zu finden, d. h. die Art, Funktionsweise und Anwendung des jeweiligen Touchscreens sowie interessante Fakten. Dann arbeiten sie in ihren Teams zusammen, um ein Poster zu erstellen, auf dem die Informationen präsentiert werden. Sie notieren die Informationen auf einem großen Blatt Papier in Form von Notizen, Aufzählungspunkten und Zeichnungen. </w:t>
            </w:r>
          </w:p>
          <w:p w14:paraId="5E62B41E" w14:textId="77777777" w:rsidR="00E317AD" w:rsidRDefault="005719A2">
            <w:pPr>
              <w:spacing w:before="120"/>
              <w:rPr>
                <w:lang w:val="de-DE"/>
              </w:rPr>
            </w:pPr>
            <w:r>
              <w:rPr>
                <w:lang w:val="de-DE"/>
              </w:rPr>
              <w:t>Beispiellinks zu den Texten:</w:t>
            </w:r>
          </w:p>
          <w:p w14:paraId="0BA4DA1D" w14:textId="77777777" w:rsidR="00E317AD" w:rsidRDefault="003F53C8">
            <w:pPr>
              <w:spacing w:before="120"/>
              <w:rPr>
                <w:lang w:val="de-DE"/>
              </w:rPr>
            </w:pPr>
            <w:hyperlink r:id="rId7" w:tooltip="https://www.computerbild.de/artikel/cb-Ratgeber-Touchscreens-4563263.html" w:history="1">
              <w:r w:rsidR="005719A2">
                <w:rPr>
                  <w:rStyle w:val="Hyperlink"/>
                  <w:lang w:val="de-DE"/>
                </w:rPr>
                <w:t>https://www.computerbild.de/artikel/cb-Ratgeber-Touchscreens-4563263.html</w:t>
              </w:r>
            </w:hyperlink>
          </w:p>
          <w:p w14:paraId="4E503DA3" w14:textId="77777777" w:rsidR="00E317AD" w:rsidRDefault="003F53C8">
            <w:pPr>
              <w:spacing w:before="120"/>
              <w:rPr>
                <w:lang w:val="de-DE"/>
              </w:rPr>
            </w:pPr>
            <w:hyperlink r:id="rId8" w:tooltip="https://www.techuni.de/technologie/touchscreen/wie-funktionieren-touchscreens/" w:history="1">
              <w:r w:rsidR="005719A2">
                <w:rPr>
                  <w:rStyle w:val="Hyperlink"/>
                  <w:lang w:val="de-DE"/>
                </w:rPr>
                <w:t>https://www.techuni.de/technologie/touchscreen/wie-funktionieren-touchscreens/</w:t>
              </w:r>
            </w:hyperlink>
          </w:p>
          <w:p w14:paraId="77596B68" w14:textId="77777777" w:rsidR="00E317AD" w:rsidRDefault="003F53C8">
            <w:pPr>
              <w:spacing w:before="120"/>
              <w:rPr>
                <w:lang w:val="de-DE"/>
              </w:rPr>
            </w:pPr>
            <w:hyperlink r:id="rId9" w:tooltip="https://www.touchwert.de/touchscreen-guide-5-touchscreen-technologien-im-vergleich/" w:history="1">
              <w:r w:rsidR="005719A2">
                <w:rPr>
                  <w:rStyle w:val="Hyperlink"/>
                  <w:lang w:val="de-DE"/>
                </w:rPr>
                <w:t>https://www.touchwert.de/touchscreen-guide-5-touchscreen-technologien-im-vergleich/</w:t>
              </w:r>
            </w:hyperlink>
          </w:p>
          <w:p w14:paraId="3C7A62C7" w14:textId="77777777" w:rsidR="00E317AD" w:rsidRDefault="003F53C8">
            <w:pPr>
              <w:spacing w:before="120"/>
              <w:rPr>
                <w:lang w:val="de-DE"/>
              </w:rPr>
            </w:pPr>
            <w:hyperlink r:id="rId10" w:tooltip="https://www.eizo.ch/de/landingpages/touchscreen-technologien-im-vergleich" w:history="1">
              <w:r w:rsidR="005719A2">
                <w:rPr>
                  <w:rStyle w:val="Hyperlink"/>
                  <w:lang w:val="de-DE"/>
                </w:rPr>
                <w:t>https://www.eizo.ch/de/landingpages/touchscreen-technologien-im-vergleich</w:t>
              </w:r>
            </w:hyperlink>
          </w:p>
          <w:p w14:paraId="3E2C38A5" w14:textId="77777777" w:rsidR="00E317AD" w:rsidRDefault="00E317AD">
            <w:pPr>
              <w:spacing w:before="120"/>
              <w:rPr>
                <w:lang w:val="de-DE"/>
              </w:rPr>
            </w:pPr>
          </w:p>
          <w:p w14:paraId="4185EF4D" w14:textId="77777777" w:rsidR="00E317AD" w:rsidRDefault="005719A2">
            <w:pPr>
              <w:spacing w:before="120"/>
              <w:rPr>
                <w:lang w:val="de-DE"/>
              </w:rPr>
            </w:pPr>
            <w:r>
              <w:rPr>
                <w:lang w:val="de-DE"/>
              </w:rPr>
              <w:t>Schritt 2: Präsentation der Ergebnisse</w:t>
            </w:r>
          </w:p>
          <w:p w14:paraId="4A3A4340" w14:textId="77777777" w:rsidR="00E317AD" w:rsidRDefault="005719A2">
            <w:pPr>
              <w:spacing w:before="120"/>
              <w:rPr>
                <w:lang w:val="de-DE"/>
              </w:rPr>
            </w:pPr>
            <w:r>
              <w:rPr>
                <w:lang w:val="de-DE"/>
              </w:rPr>
              <w:t>Für die Präsentation, Diskussion und Weiterentwicklung der Ergebnisse werden neue Arbeitsgruppen (die so genannten Vortex-Gruppen) gebildet. In jede neu gebildete Gruppe wird mindestens ein*e Vertreter*in aus jeder der vorherigen Gruppen entsandt. Vor den Postern beschreiben die einzelnen Vertreter*innen jeder neuen Gruppe ihre Touchscreen-Technologie und beantworten Fragen aus dem Publikum.</w:t>
            </w:r>
          </w:p>
          <w:p w14:paraId="3832C5C4" w14:textId="77777777" w:rsidR="00E317AD" w:rsidRDefault="005719A2">
            <w:pPr>
              <w:spacing w:before="120"/>
              <w:rPr>
                <w:lang w:val="de-DE"/>
              </w:rPr>
            </w:pPr>
            <w:r>
              <w:rPr>
                <w:lang w:val="de-DE"/>
              </w:rPr>
              <w:t xml:space="preserve">Die Klasse kann zum Beispiel bei drei Teilthemen </w:t>
            </w:r>
            <w:proofErr w:type="gramStart"/>
            <w:r>
              <w:rPr>
                <w:lang w:val="de-DE"/>
              </w:rPr>
              <w:t>nach folgendem</w:t>
            </w:r>
            <w:proofErr w:type="gramEnd"/>
            <w:r>
              <w:rPr>
                <w:lang w:val="de-DE"/>
              </w:rPr>
              <w:t xml:space="preserve"> Schema eingeteilt werden:</w:t>
            </w:r>
          </w:p>
          <w:p w14:paraId="0ED9D00A" w14:textId="77777777" w:rsidR="00E317AD" w:rsidRDefault="005719A2">
            <w:pPr>
              <w:spacing w:before="120"/>
              <w:rPr>
                <w:lang w:val="en-GB"/>
              </w:rPr>
            </w:pPr>
            <w:r>
              <w:rPr>
                <w:rFonts w:cs="Times New Roman"/>
                <w:noProof/>
                <w:sz w:val="24"/>
                <w:szCs w:val="24"/>
              </w:rPr>
              <w:lastRenderedPageBreak/>
              <w:drawing>
                <wp:inline distT="0" distB="0" distL="0" distR="0" wp14:anchorId="0326FAF4" wp14:editId="09760868">
                  <wp:extent cx="3949700" cy="1866900"/>
                  <wp:effectExtent l="0" t="0" r="0" b="0"/>
                  <wp:docPr id="4" name="Grafik 2" descr="gruppen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gruppenpuzzle"/>
                          <pic:cNvPicPr>
                            <a:picLocks noChangeAspect="1"/>
                          </pic:cNvPicPr>
                        </pic:nvPicPr>
                        <pic:blipFill>
                          <a:blip r:embed="rId11"/>
                          <a:stretch/>
                        </pic:blipFill>
                        <pic:spPr bwMode="auto">
                          <a:xfrm>
                            <a:off x="0" y="0"/>
                            <a:ext cx="3949700" cy="1866900"/>
                          </a:xfrm>
                          <a:prstGeom prst="rect">
                            <a:avLst/>
                          </a:prstGeom>
                          <a:noFill/>
                          <a:ln>
                            <a:noFill/>
                            <a:miter/>
                          </a:ln>
                        </pic:spPr>
                      </pic:pic>
                    </a:graphicData>
                  </a:graphic>
                </wp:inline>
              </w:drawing>
            </w:r>
          </w:p>
        </w:tc>
      </w:tr>
    </w:tbl>
    <w:p w14:paraId="343465C4" w14:textId="77777777" w:rsidR="00E317AD" w:rsidRDefault="00E317AD">
      <w:pPr>
        <w:spacing w:before="120"/>
        <w:rPr>
          <w:sz w:val="22"/>
          <w:szCs w:val="22"/>
        </w:rPr>
      </w:pPr>
    </w:p>
    <w:p w14:paraId="5930D609" w14:textId="77777777" w:rsidR="00E317AD" w:rsidRDefault="00E317AD">
      <w:pPr>
        <w:spacing w:before="120"/>
        <w:rPr>
          <w:sz w:val="22"/>
          <w:szCs w:val="22"/>
        </w:rPr>
      </w:pPr>
    </w:p>
    <w:p w14:paraId="418FFC33" w14:textId="77777777" w:rsidR="00E317AD" w:rsidRDefault="005719A2">
      <w:pPr>
        <w:spacing w:before="120"/>
        <w:rPr>
          <w:sz w:val="22"/>
          <w:szCs w:val="22"/>
        </w:rPr>
      </w:pPr>
      <w:r>
        <w:rPr>
          <w:sz w:val="22"/>
          <w:szCs w:val="22"/>
        </w:rPr>
        <w:t>Descriptor: CEFR level B2</w:t>
      </w:r>
    </w:p>
    <w:tbl>
      <w:tblPr>
        <w:tblStyle w:val="TableGrid"/>
        <w:tblW w:w="0" w:type="auto"/>
        <w:tblLook w:val="04A0" w:firstRow="1" w:lastRow="0" w:firstColumn="1" w:lastColumn="0" w:noHBand="0" w:noVBand="1"/>
      </w:tblPr>
      <w:tblGrid>
        <w:gridCol w:w="4535"/>
        <w:gridCol w:w="4527"/>
      </w:tblGrid>
      <w:tr w:rsidR="00E317AD" w14:paraId="048D2F29" w14:textId="77777777">
        <w:tc>
          <w:tcPr>
            <w:tcW w:w="4606" w:type="dxa"/>
            <w:tcBorders>
              <w:top w:val="single" w:sz="4" w:space="0" w:color="auto"/>
              <w:left w:val="single" w:sz="4" w:space="0" w:color="auto"/>
              <w:bottom w:val="single" w:sz="4" w:space="0" w:color="auto"/>
              <w:right w:val="single" w:sz="4" w:space="0" w:color="auto"/>
            </w:tcBorders>
          </w:tcPr>
          <w:p w14:paraId="4BCAFDB4" w14:textId="77777777" w:rsidR="00E317AD" w:rsidRDefault="005719A2">
            <w:pPr>
              <w:jc w:val="left"/>
              <w:rPr>
                <w:i/>
                <w:color w:val="auto"/>
                <w:lang w:val="en-GB"/>
              </w:rPr>
            </w:pPr>
            <w:r>
              <w:rPr>
                <w:color w:val="auto"/>
                <w:lang w:val="en-GB"/>
              </w:rPr>
              <w:t xml:space="preserve">Mode of communication / Activity, strategy or competence: </w:t>
            </w:r>
            <w:r>
              <w:rPr>
                <w:i/>
                <w:color w:val="auto"/>
                <w:lang w:val="en-GB"/>
              </w:rPr>
              <w:t>Mediating text</w:t>
            </w:r>
          </w:p>
        </w:tc>
        <w:tc>
          <w:tcPr>
            <w:tcW w:w="4606" w:type="dxa"/>
            <w:tcBorders>
              <w:top w:val="single" w:sz="4" w:space="0" w:color="auto"/>
              <w:left w:val="single" w:sz="4" w:space="0" w:color="auto"/>
              <w:bottom w:val="single" w:sz="4" w:space="0" w:color="auto"/>
              <w:right w:val="single" w:sz="4" w:space="0" w:color="auto"/>
            </w:tcBorders>
          </w:tcPr>
          <w:p w14:paraId="4573BFAD" w14:textId="77777777" w:rsidR="00E317AD" w:rsidRDefault="005719A2">
            <w:pPr>
              <w:jc w:val="left"/>
              <w:rPr>
                <w:i/>
                <w:color w:val="auto"/>
                <w:lang w:val="en-GB"/>
              </w:rPr>
            </w:pPr>
            <w:r>
              <w:rPr>
                <w:color w:val="auto"/>
                <w:lang w:val="en-GB"/>
              </w:rPr>
              <w:t xml:space="preserve">Scale: </w:t>
            </w:r>
            <w:r>
              <w:rPr>
                <w:rFonts w:ascii="myriadpro-bold" w:eastAsiaTheme="minorHAnsi" w:hAnsi="myriadpro-bold" w:cs="myriadpro-bold"/>
                <w:bCs w:val="0"/>
                <w:iCs w:val="0"/>
                <w:color w:val="auto"/>
                <w:lang w:val="en-GB"/>
              </w:rPr>
              <w:t>Relaying specific information in speech/ writing</w:t>
            </w:r>
            <w:r>
              <w:rPr>
                <w:rFonts w:ascii="myriadpro-bold" w:eastAsiaTheme="minorHAnsi" w:hAnsi="myriadpro-bold" w:cs="myriadpro-bold"/>
                <w:b/>
                <w:iCs w:val="0"/>
                <w:color w:val="auto"/>
                <w:lang w:val="en-GB"/>
              </w:rPr>
              <w:t xml:space="preserve"> </w:t>
            </w:r>
          </w:p>
        </w:tc>
      </w:tr>
      <w:tr w:rsidR="00E317AD" w14:paraId="42536AD7" w14:textId="77777777">
        <w:tc>
          <w:tcPr>
            <w:tcW w:w="9212" w:type="dxa"/>
            <w:gridSpan w:val="2"/>
            <w:tcBorders>
              <w:top w:val="single" w:sz="4" w:space="0" w:color="auto"/>
              <w:left w:val="single" w:sz="4" w:space="0" w:color="auto"/>
              <w:bottom w:val="single" w:sz="4" w:space="0" w:color="auto"/>
              <w:right w:val="single" w:sz="4" w:space="0" w:color="auto"/>
            </w:tcBorders>
          </w:tcPr>
          <w:p w14:paraId="3756ED2B" w14:textId="77777777" w:rsidR="00E317AD" w:rsidRDefault="005719A2">
            <w:pPr>
              <w:jc w:val="left"/>
              <w:rPr>
                <w:lang w:val="en-GB"/>
              </w:rPr>
            </w:pPr>
            <w:r>
              <w:rPr>
                <w:lang w:val="en-GB"/>
              </w:rPr>
              <w:t>Descriptor:</w:t>
            </w:r>
          </w:p>
          <w:p w14:paraId="1CD56A15" w14:textId="77777777" w:rsidR="00E317AD" w:rsidRDefault="005719A2">
            <w:pPr>
              <w:jc w:val="left"/>
              <w:rPr>
                <w:i/>
                <w:lang w:val="en-GB"/>
              </w:rPr>
            </w:pPr>
            <w:r>
              <w:rPr>
                <w:iCs w:val="0"/>
                <w:lang w:val="en-GB"/>
              </w:rPr>
              <w:t>Can relay in writing (in Language B) the relevant point(s) contained in propositionally complex but well-structured texts (in Language A) within their fields of professional, academic and personal interest.</w:t>
            </w:r>
          </w:p>
        </w:tc>
      </w:tr>
    </w:tbl>
    <w:p w14:paraId="15369153" w14:textId="77777777" w:rsidR="00E317AD" w:rsidRDefault="00E317AD">
      <w:pPr>
        <w:spacing w:before="120"/>
        <w:rPr>
          <w:sz w:val="22"/>
          <w:szCs w:val="22"/>
        </w:rPr>
      </w:pPr>
    </w:p>
    <w:p w14:paraId="6971E11C" w14:textId="77777777" w:rsidR="00E317AD" w:rsidRDefault="005719A2">
      <w:pPr>
        <w:spacing w:before="120"/>
        <w:rPr>
          <w:sz w:val="22"/>
          <w:szCs w:val="22"/>
        </w:rPr>
      </w:pPr>
      <w:r>
        <w:rPr>
          <w:sz w:val="22"/>
          <w:szCs w:val="22"/>
        </w:rPr>
        <w:t>Descriptor: CEFR level B2</w:t>
      </w:r>
    </w:p>
    <w:tbl>
      <w:tblPr>
        <w:tblStyle w:val="TableGrid"/>
        <w:tblW w:w="0" w:type="auto"/>
        <w:tblLook w:val="04A0" w:firstRow="1" w:lastRow="0" w:firstColumn="1" w:lastColumn="0" w:noHBand="0" w:noVBand="1"/>
      </w:tblPr>
      <w:tblGrid>
        <w:gridCol w:w="4536"/>
        <w:gridCol w:w="4526"/>
      </w:tblGrid>
      <w:tr w:rsidR="00E317AD" w14:paraId="26AC035B" w14:textId="77777777">
        <w:tc>
          <w:tcPr>
            <w:tcW w:w="4536" w:type="dxa"/>
            <w:tcBorders>
              <w:top w:val="single" w:sz="4" w:space="0" w:color="auto"/>
              <w:left w:val="single" w:sz="4" w:space="0" w:color="auto"/>
              <w:bottom w:val="single" w:sz="4" w:space="0" w:color="auto"/>
              <w:right w:val="single" w:sz="4" w:space="0" w:color="auto"/>
            </w:tcBorders>
          </w:tcPr>
          <w:p w14:paraId="50D5E5B5" w14:textId="77777777" w:rsidR="00E317AD" w:rsidRDefault="005719A2">
            <w:pPr>
              <w:jc w:val="left"/>
              <w:rPr>
                <w:i/>
                <w:color w:val="auto"/>
                <w:lang w:val="en-GB"/>
              </w:rPr>
            </w:pPr>
            <w:r>
              <w:rPr>
                <w:color w:val="auto"/>
                <w:lang w:val="en-GB"/>
              </w:rPr>
              <w:t xml:space="preserve">Mode of communication / Activity, strategy or competence: </w:t>
            </w:r>
            <w:r>
              <w:rPr>
                <w:i/>
                <w:color w:val="auto"/>
                <w:lang w:val="en-GB"/>
              </w:rPr>
              <w:t>Mediating concepts</w:t>
            </w:r>
          </w:p>
        </w:tc>
        <w:tc>
          <w:tcPr>
            <w:tcW w:w="4526" w:type="dxa"/>
            <w:tcBorders>
              <w:top w:val="single" w:sz="4" w:space="0" w:color="auto"/>
              <w:left w:val="single" w:sz="4" w:space="0" w:color="auto"/>
              <w:bottom w:val="single" w:sz="4" w:space="0" w:color="auto"/>
              <w:right w:val="single" w:sz="4" w:space="0" w:color="auto"/>
            </w:tcBorders>
          </w:tcPr>
          <w:p w14:paraId="38DA383B" w14:textId="77777777" w:rsidR="00E317AD" w:rsidRDefault="005719A2">
            <w:pPr>
              <w:jc w:val="left"/>
              <w:rPr>
                <w:i/>
                <w:color w:val="auto"/>
                <w:lang w:val="en-GB"/>
              </w:rPr>
            </w:pPr>
            <w:r>
              <w:rPr>
                <w:color w:val="auto"/>
                <w:lang w:val="en-GB"/>
              </w:rPr>
              <w:t xml:space="preserve">Scale: </w:t>
            </w:r>
            <w:r>
              <w:rPr>
                <w:rFonts w:ascii="myriadpro-bold" w:eastAsiaTheme="minorHAnsi" w:hAnsi="myriadpro-bold" w:cs="myriadpro-bold"/>
                <w:bCs w:val="0"/>
                <w:iCs w:val="0"/>
                <w:color w:val="auto"/>
                <w:lang w:val="en-GB"/>
              </w:rPr>
              <w:t>Collaborating to construct meaning</w:t>
            </w:r>
          </w:p>
        </w:tc>
      </w:tr>
      <w:tr w:rsidR="00E317AD" w14:paraId="3D782D12" w14:textId="77777777">
        <w:tc>
          <w:tcPr>
            <w:tcW w:w="9062" w:type="dxa"/>
            <w:gridSpan w:val="2"/>
            <w:tcBorders>
              <w:top w:val="single" w:sz="4" w:space="0" w:color="auto"/>
              <w:left w:val="single" w:sz="4" w:space="0" w:color="auto"/>
              <w:bottom w:val="single" w:sz="4" w:space="0" w:color="auto"/>
              <w:right w:val="single" w:sz="4" w:space="0" w:color="auto"/>
            </w:tcBorders>
          </w:tcPr>
          <w:p w14:paraId="30097E52" w14:textId="77777777" w:rsidR="00E317AD" w:rsidRDefault="005719A2">
            <w:pPr>
              <w:jc w:val="left"/>
              <w:rPr>
                <w:lang w:val="en-GB"/>
              </w:rPr>
            </w:pPr>
            <w:r>
              <w:rPr>
                <w:lang w:val="en-GB"/>
              </w:rPr>
              <w:t>Descriptor:</w:t>
            </w:r>
          </w:p>
          <w:p w14:paraId="773FD578" w14:textId="77777777" w:rsidR="00E317AD" w:rsidRDefault="005719A2">
            <w:pPr>
              <w:jc w:val="left"/>
              <w:rPr>
                <w:iCs w:val="0"/>
                <w:lang w:val="en-GB"/>
              </w:rPr>
            </w:pPr>
            <w:r>
              <w:rPr>
                <w:iCs w:val="0"/>
                <w:lang w:val="en-GB"/>
              </w:rPr>
              <w:t>Can further develop other people’s ideas and opinions.</w:t>
            </w:r>
          </w:p>
          <w:p w14:paraId="66ED59F2" w14:textId="77777777" w:rsidR="00E317AD" w:rsidRDefault="005719A2">
            <w:pPr>
              <w:jc w:val="left"/>
              <w:rPr>
                <w:iCs w:val="0"/>
                <w:lang w:val="en-GB"/>
              </w:rPr>
            </w:pPr>
            <w:r>
              <w:rPr>
                <w:iCs w:val="0"/>
                <w:lang w:val="en-GB"/>
              </w:rPr>
              <w:t>Can present their ideas in a group and pose questions that invite reactions from other group members’ perspectives.</w:t>
            </w:r>
          </w:p>
          <w:p w14:paraId="3AA094C5" w14:textId="77777777" w:rsidR="00E317AD" w:rsidRDefault="005719A2">
            <w:pPr>
              <w:jc w:val="left"/>
              <w:rPr>
                <w:iCs w:val="0"/>
                <w:lang w:val="en-GB"/>
              </w:rPr>
            </w:pPr>
            <w:r>
              <w:rPr>
                <w:iCs w:val="0"/>
                <w:lang w:val="en-GB"/>
              </w:rPr>
              <w:t>Can consider two different sides of an issue, giving arguments for and against, and propose a solution or compromise.</w:t>
            </w:r>
          </w:p>
        </w:tc>
      </w:tr>
    </w:tbl>
    <w:p w14:paraId="4665EDC5" w14:textId="77777777" w:rsidR="00E317AD" w:rsidRDefault="00E317AD">
      <w:pPr>
        <w:spacing w:before="120"/>
        <w:rPr>
          <w:sz w:val="22"/>
          <w:szCs w:val="22"/>
        </w:rPr>
      </w:pPr>
    </w:p>
    <w:p w14:paraId="1D5B96CA" w14:textId="77777777" w:rsidR="00E317AD" w:rsidRDefault="005719A2">
      <w:pPr>
        <w:spacing w:before="120"/>
        <w:rPr>
          <w:sz w:val="22"/>
          <w:szCs w:val="22"/>
        </w:rPr>
      </w:pPr>
      <w:r>
        <w:rPr>
          <w:sz w:val="22"/>
          <w:szCs w:val="22"/>
        </w:rPr>
        <w:t>Descriptor: CEFR level B2</w:t>
      </w:r>
    </w:p>
    <w:tbl>
      <w:tblPr>
        <w:tblStyle w:val="TableGrid"/>
        <w:tblW w:w="0" w:type="auto"/>
        <w:tblLook w:val="04A0" w:firstRow="1" w:lastRow="0" w:firstColumn="1" w:lastColumn="0" w:noHBand="0" w:noVBand="1"/>
      </w:tblPr>
      <w:tblGrid>
        <w:gridCol w:w="4536"/>
        <w:gridCol w:w="4526"/>
      </w:tblGrid>
      <w:tr w:rsidR="00E317AD" w14:paraId="13CFD154" w14:textId="77777777">
        <w:tc>
          <w:tcPr>
            <w:tcW w:w="4606" w:type="dxa"/>
            <w:tcBorders>
              <w:top w:val="single" w:sz="4" w:space="0" w:color="auto"/>
              <w:left w:val="single" w:sz="4" w:space="0" w:color="auto"/>
              <w:bottom w:val="single" w:sz="4" w:space="0" w:color="auto"/>
              <w:right w:val="single" w:sz="4" w:space="0" w:color="auto"/>
            </w:tcBorders>
          </w:tcPr>
          <w:p w14:paraId="5DB49534" w14:textId="77777777" w:rsidR="00E317AD" w:rsidRDefault="005719A2">
            <w:pPr>
              <w:jc w:val="left"/>
              <w:rPr>
                <w:i/>
                <w:color w:val="auto"/>
                <w:lang w:val="en-GB"/>
              </w:rPr>
            </w:pPr>
            <w:r>
              <w:rPr>
                <w:color w:val="auto"/>
                <w:lang w:val="en-GB"/>
              </w:rPr>
              <w:t xml:space="preserve">Mode of communication / Activity, strategy or competence: </w:t>
            </w:r>
            <w:r>
              <w:rPr>
                <w:i/>
                <w:color w:val="auto"/>
                <w:lang w:val="en-GB"/>
              </w:rPr>
              <w:t>Mediating text</w:t>
            </w:r>
          </w:p>
        </w:tc>
        <w:tc>
          <w:tcPr>
            <w:tcW w:w="4606" w:type="dxa"/>
            <w:tcBorders>
              <w:top w:val="single" w:sz="4" w:space="0" w:color="auto"/>
              <w:left w:val="single" w:sz="4" w:space="0" w:color="auto"/>
              <w:bottom w:val="single" w:sz="4" w:space="0" w:color="auto"/>
              <w:right w:val="single" w:sz="4" w:space="0" w:color="auto"/>
            </w:tcBorders>
          </w:tcPr>
          <w:p w14:paraId="73CCD337" w14:textId="77777777" w:rsidR="00E317AD" w:rsidRDefault="005719A2">
            <w:pPr>
              <w:jc w:val="left"/>
              <w:rPr>
                <w:i/>
                <w:color w:val="auto"/>
                <w:lang w:val="en-GB"/>
              </w:rPr>
            </w:pPr>
            <w:r>
              <w:rPr>
                <w:color w:val="auto"/>
                <w:lang w:val="en-GB"/>
              </w:rPr>
              <w:t xml:space="preserve">Scale: </w:t>
            </w:r>
            <w:r>
              <w:rPr>
                <w:rFonts w:ascii="myriadpro-bold" w:eastAsiaTheme="minorHAnsi" w:hAnsi="myriadpro-bold" w:cs="myriadpro-bold"/>
                <w:bCs w:val="0"/>
                <w:iCs w:val="0"/>
                <w:color w:val="auto"/>
                <w:lang w:val="en-GB"/>
              </w:rPr>
              <w:t>Processing text</w:t>
            </w:r>
            <w:r>
              <w:rPr>
                <w:rFonts w:ascii="myriadpro-bold" w:eastAsiaTheme="minorHAnsi" w:hAnsi="myriadpro-bold" w:cs="myriadpro-bold"/>
                <w:b/>
                <w:iCs w:val="0"/>
                <w:color w:val="auto"/>
                <w:lang w:val="en-GB"/>
              </w:rPr>
              <w:t xml:space="preserve"> </w:t>
            </w:r>
            <w:r>
              <w:rPr>
                <w:rFonts w:ascii="myriadpro-bold" w:eastAsiaTheme="minorHAnsi" w:hAnsi="myriadpro-bold" w:cs="myriadpro-bold"/>
                <w:bCs w:val="0"/>
                <w:iCs w:val="0"/>
                <w:color w:val="auto"/>
                <w:lang w:val="en-GB"/>
              </w:rPr>
              <w:t>in speech</w:t>
            </w:r>
          </w:p>
        </w:tc>
      </w:tr>
      <w:tr w:rsidR="00E317AD" w14:paraId="30943B91" w14:textId="77777777">
        <w:tc>
          <w:tcPr>
            <w:tcW w:w="9212" w:type="dxa"/>
            <w:gridSpan w:val="2"/>
            <w:tcBorders>
              <w:top w:val="single" w:sz="4" w:space="0" w:color="auto"/>
              <w:left w:val="single" w:sz="4" w:space="0" w:color="auto"/>
              <w:bottom w:val="single" w:sz="4" w:space="0" w:color="auto"/>
              <w:right w:val="single" w:sz="4" w:space="0" w:color="auto"/>
            </w:tcBorders>
          </w:tcPr>
          <w:p w14:paraId="269E502B" w14:textId="77777777" w:rsidR="00E317AD" w:rsidRDefault="005719A2">
            <w:pPr>
              <w:jc w:val="left"/>
              <w:rPr>
                <w:sz w:val="22"/>
                <w:szCs w:val="22"/>
                <w:lang w:val="en-GB"/>
              </w:rPr>
            </w:pPr>
            <w:r>
              <w:rPr>
                <w:lang w:val="en-GB"/>
              </w:rPr>
              <w:t>Descriptor:</w:t>
            </w:r>
          </w:p>
          <w:p w14:paraId="2276547E" w14:textId="77777777" w:rsidR="00E317AD" w:rsidRDefault="005719A2">
            <w:pPr>
              <w:jc w:val="left"/>
              <w:rPr>
                <w:iCs w:val="0"/>
                <w:lang w:val="en-GB"/>
              </w:rPr>
            </w:pPr>
            <w:r>
              <w:rPr>
                <w:rFonts w:eastAsia="MyriadPro-Regular" w:cs="MyriadPro-Regular"/>
                <w:bCs w:val="0"/>
                <w:iCs w:val="0"/>
                <w:color w:val="auto"/>
                <w:lang w:val="en-GB"/>
              </w:rPr>
              <w:t>Can summarise (in Language B) the important points made in longer, complex texts (in Language A) on subjects of current interest, including their fields of special interest.</w:t>
            </w:r>
          </w:p>
        </w:tc>
      </w:tr>
    </w:tbl>
    <w:p w14:paraId="41BE02B1" w14:textId="77777777" w:rsidR="00E317AD" w:rsidRDefault="00E317AD">
      <w:pPr>
        <w:spacing w:before="120"/>
        <w:rPr>
          <w:sz w:val="24"/>
          <w:szCs w:val="24"/>
        </w:rPr>
      </w:pPr>
    </w:p>
    <w:p w14:paraId="317A120C" w14:textId="77777777" w:rsidR="00E317AD" w:rsidRDefault="00E317AD"/>
    <w:p w14:paraId="331336B8" w14:textId="77777777" w:rsidR="00E317AD" w:rsidRDefault="00E317AD"/>
    <w:sectPr w:rsidR="00E317AD" w:rsidSect="003F53C8">
      <w:headerReference w:type="even" r:id="rId12"/>
      <w:headerReference w:type="default" r:id="rId13"/>
      <w:footerReference w:type="even" r:id="rId14"/>
      <w:footerReference w:type="default" r:id="rId15"/>
      <w:headerReference w:type="first" r:id="rId16"/>
      <w:footerReference w:type="first" r:id="rId17"/>
      <w:pgSz w:w="11906" w:h="16838"/>
      <w:pgMar w:top="1843" w:right="1417" w:bottom="1134" w:left="1417" w:header="284" w:footer="1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BEA68" w14:textId="77777777" w:rsidR="00E317AD" w:rsidRDefault="005719A2">
      <w:pPr>
        <w:spacing w:after="0"/>
      </w:pPr>
      <w:r>
        <w:separator/>
      </w:r>
    </w:p>
  </w:endnote>
  <w:endnote w:type="continuationSeparator" w:id="0">
    <w:p w14:paraId="04F6D6C3" w14:textId="77777777" w:rsidR="00E317AD" w:rsidRDefault="005719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pro-bold">
    <w:altName w:val="Calibri"/>
    <w:panose1 w:val="00000000000000000000"/>
    <w:charset w:val="EE"/>
    <w:family w:val="swiss"/>
    <w:notTrueType/>
    <w:pitch w:val="default"/>
    <w:sig w:usb0="00000005" w:usb1="00000000" w:usb2="00000000" w:usb3="00000000" w:csb0="00000002" w:csb1="00000000"/>
  </w:font>
  <w:font w:name="MyriadPro-Regular">
    <w:altName w:val="Yu Gothi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1874B" w14:textId="77777777" w:rsidR="003F53C8" w:rsidRDefault="003F5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7"/>
      <w:gridCol w:w="3118"/>
    </w:tblGrid>
    <w:tr w:rsidR="003F53C8" w:rsidRPr="008414FC" w14:paraId="6F671A22" w14:textId="77777777" w:rsidTr="0030669C">
      <w:trPr>
        <w:trHeight w:val="574"/>
      </w:trPr>
      <w:tc>
        <w:tcPr>
          <w:tcW w:w="6947" w:type="dxa"/>
          <w:tcBorders>
            <w:top w:val="single" w:sz="4" w:space="0" w:color="auto"/>
          </w:tcBorders>
        </w:tcPr>
        <w:p w14:paraId="2FCCD3F2" w14:textId="77777777" w:rsidR="003F53C8" w:rsidRPr="008414FC" w:rsidRDefault="003F53C8" w:rsidP="003F53C8">
          <w:pPr>
            <w:pStyle w:val="Footer1"/>
            <w:tabs>
              <w:tab w:val="clear" w:pos="9072"/>
            </w:tabs>
            <w:spacing w:before="120"/>
            <w:ind w:left="0"/>
            <w:jc w:val="left"/>
            <w:rPr>
              <w:rFonts w:cstheme="minorHAnsi"/>
              <w:i/>
              <w:iCs/>
              <w:color w:val="464646"/>
              <w:sz w:val="16"/>
              <w:szCs w:val="16"/>
              <w:shd w:val="clear" w:color="auto" w:fill="FFFFFF"/>
            </w:rPr>
          </w:pPr>
          <w:bookmarkStart w:id="0" w:name="_Hlk151042701"/>
          <w:r w:rsidRPr="00F42C71">
            <w:rPr>
              <w:rFonts w:cstheme="minorHAnsi"/>
              <w:color w:val="464646"/>
              <w:sz w:val="16"/>
              <w:szCs w:val="16"/>
              <w:shd w:val="clear" w:color="auto" w:fill="FFFFFF"/>
            </w:rPr>
            <w:t xml:space="preserve">© 2023. </w:t>
          </w:r>
          <w:r>
            <w:rPr>
              <w:rFonts w:cstheme="minorHAnsi"/>
              <w:color w:val="464646"/>
              <w:sz w:val="16"/>
              <w:szCs w:val="16"/>
              <w:shd w:val="clear" w:color="auto" w:fill="FFFFFF"/>
            </w:rPr>
            <w:t>This work is licensed under an Attribution-</w:t>
          </w:r>
          <w:proofErr w:type="spellStart"/>
          <w:r>
            <w:rPr>
              <w:rFonts w:cstheme="minorHAnsi"/>
              <w:color w:val="464646"/>
              <w:sz w:val="16"/>
              <w:szCs w:val="16"/>
              <w:shd w:val="clear" w:color="auto" w:fill="FFFFFF"/>
            </w:rPr>
            <w:t>NonCommercial</w:t>
          </w:r>
          <w:proofErr w:type="spellEnd"/>
          <w:r>
            <w:rPr>
              <w:rFonts w:cstheme="minorHAnsi"/>
              <w:color w:val="464646"/>
              <w:sz w:val="16"/>
              <w:szCs w:val="16"/>
              <w:shd w:val="clear" w:color="auto" w:fill="FFFFFF"/>
            </w:rPr>
            <w:t>-</w:t>
          </w:r>
          <w:proofErr w:type="spellStart"/>
          <w:r>
            <w:rPr>
              <w:rFonts w:cstheme="minorHAnsi"/>
              <w:color w:val="464646"/>
              <w:sz w:val="16"/>
              <w:szCs w:val="16"/>
              <w:shd w:val="clear" w:color="auto" w:fill="FFFFFF"/>
            </w:rPr>
            <w:t>ShareAlike</w:t>
          </w:r>
          <w:proofErr w:type="spellEnd"/>
          <w:r>
            <w:rPr>
              <w:rFonts w:cstheme="minorHAnsi"/>
              <w:color w:val="464646"/>
              <w:sz w:val="16"/>
              <w:szCs w:val="16"/>
              <w:shd w:val="clear" w:color="auto" w:fill="FFFFFF"/>
            </w:rPr>
            <w:t xml:space="preserve"> International Creative </w:t>
          </w:r>
          <w:r w:rsidRPr="003411BA">
            <w:rPr>
              <w:rFonts w:cstheme="minorHAnsi"/>
              <w:color w:val="464646"/>
              <w:sz w:val="16"/>
              <w:szCs w:val="16"/>
              <w:shd w:val="clear" w:color="auto" w:fill="FFFFFF"/>
            </w:rPr>
            <w:t xml:space="preserve">Commons </w:t>
          </w:r>
          <w:hyperlink r:id="rId1" w:history="1">
            <w:r w:rsidRPr="003411BA">
              <w:rPr>
                <w:rStyle w:val="Hyperlink"/>
                <w:sz w:val="16"/>
                <w:szCs w:val="16"/>
              </w:rPr>
              <w:t xml:space="preserve">CC-BY-NC-SA 4.0 </w:t>
            </w:r>
            <w:r w:rsidRPr="003411BA">
              <w:rPr>
                <w:rStyle w:val="Hyperlink"/>
                <w:rFonts w:cstheme="minorHAnsi"/>
                <w:sz w:val="16"/>
                <w:szCs w:val="16"/>
              </w:rPr>
              <w:t>License</w:t>
            </w:r>
          </w:hyperlink>
          <w:r w:rsidRPr="003411BA">
            <w:rPr>
              <w:rFonts w:cstheme="minorHAnsi"/>
              <w:i/>
              <w:iCs/>
              <w:color w:val="464646"/>
              <w:sz w:val="16"/>
              <w:szCs w:val="16"/>
              <w:shd w:val="clear" w:color="auto" w:fill="FFFFFF"/>
            </w:rPr>
            <w:t>.</w:t>
          </w:r>
          <w:r>
            <w:rPr>
              <w:rFonts w:cstheme="minorHAnsi"/>
              <w:i/>
              <w:iCs/>
              <w:color w:val="464646"/>
              <w:sz w:val="16"/>
              <w:szCs w:val="16"/>
              <w:shd w:val="clear" w:color="auto" w:fill="FFFFFF"/>
            </w:rPr>
            <w:t xml:space="preserve"> </w:t>
          </w:r>
          <w:r w:rsidRPr="002A7F10">
            <w:rPr>
              <w:rFonts w:cstheme="minorHAnsi"/>
              <w:color w:val="0D0D0D" w:themeColor="text1" w:themeTint="F2"/>
              <w:sz w:val="16"/>
              <w:szCs w:val="16"/>
              <w:shd w:val="clear" w:color="auto" w:fill="FFFFFF"/>
            </w:rPr>
            <w:t>Attribution: Original activity from Fischer Johann (et al.) (2023),</w:t>
          </w:r>
          <w:r w:rsidRPr="002A7F10">
            <w:rPr>
              <w:rFonts w:cstheme="minorHAnsi"/>
              <w:color w:val="0D0D0D" w:themeColor="text1" w:themeTint="F2"/>
              <w:sz w:val="16"/>
              <w:szCs w:val="16"/>
            </w:rPr>
            <w:t xml:space="preserve"> </w:t>
          </w:r>
          <w:r w:rsidRPr="00347491">
            <w:rPr>
              <w:rFonts w:cstheme="minorHAnsi"/>
              <w:i/>
              <w:iCs/>
              <w:sz w:val="16"/>
              <w:szCs w:val="16"/>
            </w:rPr>
            <w:t>CEFR Companion Volume implementation toolbox</w:t>
          </w:r>
          <w:r w:rsidRPr="008414FC">
            <w:rPr>
              <w:rFonts w:cstheme="minorHAnsi"/>
              <w:sz w:val="16"/>
              <w:szCs w:val="16"/>
            </w:rPr>
            <w:t xml:space="preserve">, Council of Europe (European Centre for Modern Languages), Graz, available at </w:t>
          </w:r>
          <w:hyperlink r:id="rId2" w:history="1">
            <w:r w:rsidRPr="006C380F">
              <w:rPr>
                <w:rStyle w:val="Hyperlink"/>
                <w:sz w:val="16"/>
                <w:szCs w:val="16"/>
              </w:rPr>
              <w:t>www.ecml.at/companionvolumetoolbox</w:t>
            </w:r>
          </w:hyperlink>
          <w:r w:rsidRPr="006D71D5">
            <w:rPr>
              <w:sz w:val="16"/>
              <w:szCs w:val="16"/>
            </w:rPr>
            <w:t>.</w:t>
          </w:r>
        </w:p>
      </w:tc>
      <w:tc>
        <w:tcPr>
          <w:tcW w:w="3118" w:type="dxa"/>
        </w:tcPr>
        <w:p w14:paraId="5FEBAD60" w14:textId="77777777" w:rsidR="003F53C8" w:rsidRPr="008414FC" w:rsidRDefault="003F53C8" w:rsidP="003F53C8">
          <w:pPr>
            <w:pStyle w:val="Footer1"/>
            <w:tabs>
              <w:tab w:val="clear" w:pos="9072"/>
            </w:tabs>
            <w:ind w:left="0" w:right="-109"/>
            <w:jc w:val="left"/>
            <w:rPr>
              <w:sz w:val="16"/>
              <w:szCs w:val="16"/>
            </w:rPr>
          </w:pPr>
          <w:r w:rsidRPr="008414FC">
            <w:rPr>
              <w:noProof/>
              <w:sz w:val="16"/>
              <w:szCs w:val="16"/>
            </w:rPr>
            <w:drawing>
              <wp:inline distT="0" distB="0" distL="0" distR="0" wp14:anchorId="61627785" wp14:editId="19901C2F">
                <wp:extent cx="1572895" cy="535940"/>
                <wp:effectExtent l="0" t="0" r="8255" b="0"/>
                <wp:docPr id="465758336" name="Picture 46575833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bookmarkEnd w:id="0"/>
  </w:tbl>
  <w:p w14:paraId="763AFC6B" w14:textId="77777777" w:rsidR="00E317AD" w:rsidRDefault="00E317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B3328" w14:textId="77777777" w:rsidR="003F53C8" w:rsidRDefault="003F5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C756F" w14:textId="77777777" w:rsidR="00E317AD" w:rsidRDefault="005719A2">
      <w:pPr>
        <w:spacing w:after="0"/>
      </w:pPr>
      <w:r>
        <w:separator/>
      </w:r>
    </w:p>
  </w:footnote>
  <w:footnote w:type="continuationSeparator" w:id="0">
    <w:p w14:paraId="731105D8" w14:textId="77777777" w:rsidR="00E317AD" w:rsidRDefault="005719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E9BB9" w14:textId="77777777" w:rsidR="003F53C8" w:rsidRDefault="003F5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1D1B2" w14:textId="5AA59E00" w:rsidR="00E317AD" w:rsidRDefault="00961921" w:rsidP="003F53C8">
    <w:pPr>
      <w:pStyle w:val="Header"/>
      <w:jc w:val="right"/>
    </w:pPr>
    <w:r>
      <w:rPr>
        <w:noProof/>
        <w:lang w:val="de-DE"/>
      </w:rPr>
      <w:drawing>
        <wp:inline distT="0" distB="0" distL="0" distR="0" wp14:anchorId="1EAB3E0B" wp14:editId="2A77EFE2">
          <wp:extent cx="1304714" cy="842890"/>
          <wp:effectExtent l="0" t="0" r="0" b="0"/>
          <wp:docPr id="1693438931" name="Picture 1693438931" descr="A blue and black toolbox with to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253790" name="Picture 1628253790" descr="A blue and black toolbox with tool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7618" cy="86414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A0DE9" w14:textId="77777777" w:rsidR="003F53C8" w:rsidRDefault="003F5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1562E4"/>
    <w:multiLevelType w:val="hybridMultilevel"/>
    <w:tmpl w:val="38A68F0C"/>
    <w:lvl w:ilvl="0" w:tplc="51ACA942">
      <w:start w:val="1"/>
      <w:numFmt w:val="decimal"/>
      <w:pStyle w:val="Heading1"/>
      <w:lvlText w:val="%1."/>
      <w:lvlJc w:val="left"/>
      <w:pPr>
        <w:ind w:left="720" w:hanging="360"/>
      </w:pPr>
    </w:lvl>
    <w:lvl w:ilvl="1" w:tplc="E92608CA">
      <w:start w:val="1"/>
      <w:numFmt w:val="lowerLetter"/>
      <w:pStyle w:val="Heading2"/>
      <w:lvlText w:val="%2."/>
      <w:lvlJc w:val="left"/>
      <w:pPr>
        <w:ind w:left="1440" w:hanging="360"/>
      </w:pPr>
    </w:lvl>
    <w:lvl w:ilvl="2" w:tplc="A5A8A222">
      <w:start w:val="1"/>
      <w:numFmt w:val="lowerRoman"/>
      <w:pStyle w:val="Heading3"/>
      <w:lvlText w:val="%3."/>
      <w:lvlJc w:val="right"/>
      <w:pPr>
        <w:ind w:left="2160" w:hanging="180"/>
      </w:pPr>
    </w:lvl>
    <w:lvl w:ilvl="3" w:tplc="82CEB7E2">
      <w:start w:val="1"/>
      <w:numFmt w:val="decimal"/>
      <w:lvlText w:val="%4."/>
      <w:lvlJc w:val="left"/>
      <w:pPr>
        <w:ind w:left="2880" w:hanging="360"/>
      </w:pPr>
    </w:lvl>
    <w:lvl w:ilvl="4" w:tplc="F800DAE4">
      <w:start w:val="1"/>
      <w:numFmt w:val="lowerLetter"/>
      <w:pStyle w:val="Heading5"/>
      <w:lvlText w:val="%5."/>
      <w:lvlJc w:val="left"/>
      <w:pPr>
        <w:ind w:left="3600" w:hanging="360"/>
      </w:pPr>
    </w:lvl>
    <w:lvl w:ilvl="5" w:tplc="DB62E3B2">
      <w:start w:val="1"/>
      <w:numFmt w:val="lowerRoman"/>
      <w:pStyle w:val="Heading6"/>
      <w:lvlText w:val="%6."/>
      <w:lvlJc w:val="right"/>
      <w:pPr>
        <w:ind w:left="4320" w:hanging="180"/>
      </w:pPr>
    </w:lvl>
    <w:lvl w:ilvl="6" w:tplc="DEEA58B2">
      <w:start w:val="1"/>
      <w:numFmt w:val="decimal"/>
      <w:pStyle w:val="Heading7"/>
      <w:lvlText w:val="%7."/>
      <w:lvlJc w:val="left"/>
      <w:pPr>
        <w:ind w:left="5040" w:hanging="360"/>
      </w:pPr>
    </w:lvl>
    <w:lvl w:ilvl="7" w:tplc="05529BA2">
      <w:start w:val="1"/>
      <w:numFmt w:val="lowerLetter"/>
      <w:pStyle w:val="Heading8"/>
      <w:lvlText w:val="%8."/>
      <w:lvlJc w:val="left"/>
      <w:pPr>
        <w:ind w:left="5760" w:hanging="360"/>
      </w:pPr>
    </w:lvl>
    <w:lvl w:ilvl="8" w:tplc="13AE58C0">
      <w:start w:val="1"/>
      <w:numFmt w:val="lowerRoman"/>
      <w:pStyle w:val="Heading9"/>
      <w:lvlText w:val="%9."/>
      <w:lvlJc w:val="right"/>
      <w:pPr>
        <w:ind w:left="6480" w:hanging="180"/>
      </w:pPr>
    </w:lvl>
  </w:abstractNum>
  <w:num w:numId="1" w16cid:durableId="14401806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7AD"/>
    <w:rsid w:val="000B6B4E"/>
    <w:rsid w:val="001B4012"/>
    <w:rsid w:val="00362178"/>
    <w:rsid w:val="003F53C8"/>
    <w:rsid w:val="005719A2"/>
    <w:rsid w:val="00961921"/>
    <w:rsid w:val="00985E66"/>
    <w:rsid w:val="00DC59AF"/>
    <w:rsid w:val="00E31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F40597"/>
  <w15:docId w15:val="{99D7BD1D-A8A4-462F-B6A8-A18D9964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40" w:lineRule="auto"/>
      <w:jc w:val="both"/>
    </w:pPr>
    <w:rPr>
      <w:rFonts w:ascii="Myriad Pro" w:eastAsia="Open Sans" w:hAnsi="Myriad Pro" w:cs="Open Sans"/>
      <w:bCs/>
      <w:iCs/>
      <w:color w:val="000000"/>
      <w:sz w:val="20"/>
      <w:szCs w:val="20"/>
      <w14:ligatures w14:val="none"/>
    </w:rPr>
  </w:style>
  <w:style w:type="paragraph" w:styleId="Heading1">
    <w:name w:val="heading 1"/>
    <w:basedOn w:val="Normal"/>
    <w:next w:val="Normal"/>
    <w:link w:val="Heading1Char"/>
    <w:qFormat/>
    <w:pPr>
      <w:numPr>
        <w:numId w:val="1"/>
      </w:numPr>
      <w:spacing w:before="240" w:after="240"/>
      <w:jc w:val="left"/>
      <w:outlineLvl w:val="0"/>
    </w:pPr>
    <w:rPr>
      <w:sz w:val="32"/>
      <w:szCs w:val="48"/>
    </w:rPr>
  </w:style>
  <w:style w:type="paragraph" w:styleId="Heading2">
    <w:name w:val="heading 2"/>
    <w:basedOn w:val="Normal"/>
    <w:next w:val="Normal"/>
    <w:link w:val="Heading2Char"/>
    <w:uiPriority w:val="9"/>
    <w:semiHidden/>
    <w:unhideWhenUsed/>
    <w:qFormat/>
    <w:pPr>
      <w:keepNext/>
      <w:keepLines/>
      <w:numPr>
        <w:ilvl w:val="1"/>
        <w:numId w:val="1"/>
      </w:numPr>
      <w:tabs>
        <w:tab w:val="left" w:pos="397"/>
      </w:tabs>
      <w:spacing w:before="240" w:after="240"/>
      <w:outlineLvl w:val="1"/>
    </w:pPr>
    <w:rPr>
      <w:b/>
      <w:bCs w:val="0"/>
      <w:iCs w:val="0"/>
      <w:caps/>
      <w:sz w:val="24"/>
      <w:szCs w:val="24"/>
    </w:rPr>
  </w:style>
  <w:style w:type="paragraph" w:styleId="Heading3">
    <w:name w:val="heading 3"/>
    <w:basedOn w:val="Normal"/>
    <w:next w:val="Normal"/>
    <w:link w:val="Heading3Char"/>
    <w:uiPriority w:val="9"/>
    <w:semiHidden/>
    <w:unhideWhenUsed/>
    <w:qFormat/>
    <w:pPr>
      <w:keepNext/>
      <w:keepLines/>
      <w:numPr>
        <w:ilvl w:val="2"/>
        <w:numId w:val="1"/>
      </w:numPr>
      <w:tabs>
        <w:tab w:val="left" w:pos="397"/>
        <w:tab w:val="left" w:pos="567"/>
      </w:tabs>
      <w:spacing w:before="240" w:after="240"/>
      <w:outlineLvl w:val="2"/>
    </w:pPr>
    <w:rPr>
      <w:rFonts w:eastAsia="Calibri" w:cs="Calibri"/>
      <w:b/>
      <w:bCs w:val="0"/>
      <w:iCs w:val="0"/>
      <w:color w:val="000000" w:themeColor="text1"/>
      <w:sz w:val="24"/>
      <w:szCs w:val="24"/>
    </w:rPr>
  </w:style>
  <w:style w:type="paragraph" w:styleId="Heading4">
    <w:name w:val="heading 4"/>
    <w:basedOn w:val="Normal"/>
    <w:next w:val="Normal"/>
    <w:link w:val="Heading4Char"/>
    <w:uiPriority w:val="9"/>
    <w:unhideWhenUsed/>
    <w:qFormat/>
    <w:pPr>
      <w:keepNext/>
      <w:keepLines/>
      <w:spacing w:before="240" w:after="240"/>
      <w:outlineLvl w:val="3"/>
    </w:pPr>
    <w:rPr>
      <w:b/>
      <w:bCs w:val="0"/>
      <w:iCs w:val="0"/>
      <w:color w:val="auto"/>
      <w:sz w:val="24"/>
      <w:szCs w:val="24"/>
    </w:rPr>
  </w:style>
  <w:style w:type="paragraph" w:styleId="Heading5">
    <w:name w:val="heading 5"/>
    <w:basedOn w:val="Normal"/>
    <w:next w:val="Normal"/>
    <w:link w:val="Heading5Char"/>
    <w:uiPriority w:val="9"/>
    <w:semiHidden/>
    <w:unhideWhenUsed/>
    <w:qFormat/>
    <w:pPr>
      <w:keepNext/>
      <w:keepLines/>
      <w:numPr>
        <w:ilvl w:val="4"/>
        <w:numId w:val="1"/>
      </w:numPr>
      <w:spacing w:before="220" w:after="40"/>
      <w:outlineLvl w:val="4"/>
    </w:pPr>
    <w:rPr>
      <w:rFonts w:ascii="Open Sans" w:hAnsi="Open Sans"/>
      <w:b/>
      <w:bCs w:val="0"/>
      <w:iCs w:val="0"/>
      <w:color w:val="auto"/>
      <w:sz w:val="22"/>
      <w:szCs w:val="22"/>
    </w:rPr>
  </w:style>
  <w:style w:type="paragraph" w:styleId="Heading6">
    <w:name w:val="heading 6"/>
    <w:basedOn w:val="Normal"/>
    <w:next w:val="Normal"/>
    <w:link w:val="Heading6Char"/>
    <w:uiPriority w:val="9"/>
    <w:semiHidden/>
    <w:unhideWhenUsed/>
    <w:qFormat/>
    <w:pPr>
      <w:keepNext/>
      <w:keepLines/>
      <w:numPr>
        <w:ilvl w:val="5"/>
        <w:numId w:val="1"/>
      </w:numPr>
      <w:spacing w:before="200" w:after="40"/>
      <w:outlineLvl w:val="5"/>
    </w:pPr>
    <w:rPr>
      <w:rFonts w:ascii="Open Sans" w:hAnsi="Open Sans"/>
      <w:b/>
      <w:bCs w:val="0"/>
      <w:iCs w:val="0"/>
      <w:color w:val="auto"/>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val="0"/>
      <w:color w:val="1F3763"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val="0"/>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color w:val="4472C4"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en-GB"/>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en-GB"/>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en-GB"/>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en-GB"/>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en-GB"/>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en-GB"/>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en-GB"/>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en-GB"/>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en-GB"/>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en-GB"/>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en-GB"/>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en-GB"/>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en-GB"/>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en-GB"/>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p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character" w:customStyle="1" w:styleId="Heading1Char">
    <w:name w:val="Heading 1 Char"/>
    <w:basedOn w:val="DefaultParagraphFont"/>
    <w:link w:val="Heading1"/>
    <w:rPr>
      <w:rFonts w:ascii="Myriad Pro" w:eastAsia="Open Sans" w:hAnsi="Myriad Pro" w:cs="Open Sans"/>
      <w:bCs/>
      <w:iCs/>
      <w:color w:val="000000"/>
      <w:sz w:val="32"/>
      <w:szCs w:val="48"/>
      <w14:ligatures w14:val="none"/>
    </w:rPr>
  </w:style>
  <w:style w:type="character" w:customStyle="1" w:styleId="Heading2Char">
    <w:name w:val="Heading 2 Char"/>
    <w:basedOn w:val="DefaultParagraphFont"/>
    <w:link w:val="Heading2"/>
    <w:uiPriority w:val="9"/>
    <w:semiHidden/>
    <w:rPr>
      <w:rFonts w:ascii="Myriad Pro" w:eastAsia="Open Sans" w:hAnsi="Myriad Pro" w:cs="Open Sans"/>
      <w:b/>
      <w:caps/>
      <w:color w:val="000000"/>
      <w:sz w:val="24"/>
      <w:szCs w:val="24"/>
      <w14:ligatures w14:val="none"/>
    </w:rPr>
  </w:style>
  <w:style w:type="character" w:customStyle="1" w:styleId="Heading3Char">
    <w:name w:val="Heading 3 Char"/>
    <w:basedOn w:val="DefaultParagraphFont"/>
    <w:link w:val="Heading3"/>
    <w:uiPriority w:val="9"/>
    <w:semiHidden/>
    <w:rPr>
      <w:rFonts w:ascii="Myriad Pro" w:eastAsia="Calibri" w:hAnsi="Myriad Pro" w:cs="Calibri"/>
      <w:b/>
      <w:color w:val="000000" w:themeColor="text1"/>
      <w:sz w:val="24"/>
      <w:szCs w:val="24"/>
      <w14:ligatures w14:val="none"/>
    </w:rPr>
  </w:style>
  <w:style w:type="character" w:customStyle="1" w:styleId="Heading4Char">
    <w:name w:val="Heading 4 Char"/>
    <w:basedOn w:val="DefaultParagraphFont"/>
    <w:link w:val="Heading4"/>
    <w:uiPriority w:val="9"/>
    <w:rPr>
      <w:rFonts w:ascii="Myriad Pro" w:eastAsia="Open Sans" w:hAnsi="Myriad Pro" w:cs="Open Sans"/>
      <w:b/>
      <w:sz w:val="24"/>
      <w:szCs w:val="24"/>
      <w14:ligatures w14:val="none"/>
    </w:rPr>
  </w:style>
  <w:style w:type="character" w:customStyle="1" w:styleId="Heading5Char">
    <w:name w:val="Heading 5 Char"/>
    <w:basedOn w:val="DefaultParagraphFont"/>
    <w:link w:val="Heading5"/>
    <w:uiPriority w:val="9"/>
    <w:semiHidden/>
    <w:rPr>
      <w:rFonts w:ascii="Open Sans" w:eastAsia="Open Sans" w:hAnsi="Open Sans" w:cs="Open Sans"/>
      <w:b/>
      <w14:ligatures w14:val="none"/>
    </w:rPr>
  </w:style>
  <w:style w:type="character" w:customStyle="1" w:styleId="Heading6Char">
    <w:name w:val="Heading 6 Char"/>
    <w:basedOn w:val="DefaultParagraphFont"/>
    <w:link w:val="Heading6"/>
    <w:uiPriority w:val="9"/>
    <w:semiHidden/>
    <w:rPr>
      <w:rFonts w:ascii="Open Sans" w:eastAsia="Open Sans" w:hAnsi="Open Sans" w:cs="Open Sans"/>
      <w:b/>
      <w:sz w:val="20"/>
      <w:szCs w:val="20"/>
      <w14:ligatures w14:val="none"/>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Cs/>
      <w:i/>
      <w:color w:val="1F3763" w:themeColor="accent1" w:themeShade="7F"/>
      <w:sz w:val="20"/>
      <w:szCs w:val="20"/>
      <w14:ligatures w14:val="none"/>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Cs/>
      <w:iCs/>
      <w:color w:val="272727" w:themeColor="text1" w:themeTint="D8"/>
      <w:sz w:val="21"/>
      <w:szCs w:val="21"/>
      <w14:ligatures w14:val="none"/>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Cs/>
      <w:i/>
      <w:color w:val="272727" w:themeColor="text1" w:themeTint="D8"/>
      <w:sz w:val="21"/>
      <w:szCs w:val="21"/>
      <w14:ligatures w14:val="none"/>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pPr>
      <w:spacing w:after="0" w:line="240" w:lineRule="auto"/>
    </w:pPr>
    <w:rPr>
      <w:rFonts w:ascii="Myriad Pro" w:eastAsia="Open Sans" w:hAnsi="Myriad Pro" w:cs="Open Sans"/>
      <w:bCs/>
      <w:iCs/>
      <w:color w:val="000000"/>
      <w:sz w:val="20"/>
      <w:szCs w:val="20"/>
      <w14:ligatures w14:val="none"/>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Myriad Pro" w:eastAsia="Open Sans" w:hAnsi="Myriad Pro" w:cs="Open Sans"/>
      <w:bCs/>
      <w:iCs/>
      <w:color w:val="000000"/>
      <w:sz w:val="20"/>
      <w:szCs w:val="20"/>
      <w14:ligatures w14:val="none"/>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Myriad Pro" w:eastAsia="Open Sans" w:hAnsi="Myriad Pro" w:cs="Open Sans"/>
      <w:bCs/>
      <w:iCs/>
      <w:color w:val="00000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Myriad Pro" w:eastAsia="Open Sans" w:hAnsi="Myriad Pro" w:cs="Open Sans"/>
      <w:bCs/>
      <w:iCs/>
      <w:color w:val="000000"/>
      <w:sz w:val="20"/>
      <w:szCs w:val="20"/>
      <w14:ligatures w14:val="none"/>
    </w:rPr>
  </w:style>
  <w:style w:type="paragraph" w:styleId="CommentSubject">
    <w:name w:val="annotation subject"/>
    <w:basedOn w:val="CommentText"/>
    <w:next w:val="CommentText"/>
    <w:link w:val="CommentSubjectChar"/>
    <w:uiPriority w:val="99"/>
    <w:semiHidden/>
    <w:unhideWhenUsed/>
    <w:rPr>
      <w:b/>
    </w:rPr>
  </w:style>
  <w:style w:type="character" w:customStyle="1" w:styleId="CommentSubjectChar">
    <w:name w:val="Comment Subject Char"/>
    <w:basedOn w:val="CommentTextChar"/>
    <w:link w:val="CommentSubject"/>
    <w:uiPriority w:val="99"/>
    <w:semiHidden/>
    <w:rPr>
      <w:rFonts w:ascii="Myriad Pro" w:eastAsia="Open Sans" w:hAnsi="Myriad Pro" w:cs="Open Sans"/>
      <w:b/>
      <w:bCs/>
      <w:iCs/>
      <w:color w:val="000000"/>
      <w:sz w:val="20"/>
      <w:szCs w:val="20"/>
      <w14:ligatures w14:val="none"/>
    </w:rPr>
  </w:style>
  <w:style w:type="paragraph" w:customStyle="1" w:styleId="Footer1">
    <w:name w:val="Footer1"/>
    <w:basedOn w:val="Footer"/>
    <w:link w:val="footerChar0"/>
    <w:qFormat/>
    <w:rsid w:val="00961921"/>
    <w:pPr>
      <w:ind w:left="-108"/>
    </w:pPr>
    <w:rPr>
      <w:rFonts w:ascii="Arial" w:eastAsiaTheme="minorEastAsia" w:hAnsi="Arial" w:cs="Arial"/>
      <w:bCs w:val="0"/>
      <w:iCs w:val="0"/>
      <w:sz w:val="18"/>
      <w:lang w:eastAsia="de-DE"/>
    </w:rPr>
  </w:style>
  <w:style w:type="character" w:customStyle="1" w:styleId="footerChar0">
    <w:name w:val="footer Char"/>
    <w:basedOn w:val="FooterChar"/>
    <w:link w:val="Footer1"/>
    <w:rsid w:val="00961921"/>
    <w:rPr>
      <w:rFonts w:ascii="Arial" w:eastAsiaTheme="minorEastAsia" w:hAnsi="Arial" w:cs="Arial"/>
      <w:bCs w:val="0"/>
      <w:iCs w:val="0"/>
      <w:color w:val="000000"/>
      <w:sz w:val="18"/>
      <w:szCs w:val="2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chuni.de/technologie/touchscreen/wie-funktionieren-touchscreen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mputerbild.de/artikel/cb-Ratgeber-Touchscreens-4563263.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eizo.ch/de/landingpages/touchscreen-technologien-im-vergleic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ouchwert.de/touchscreen-guide-5-touchscreen-technologien-im-vergleich/"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ecml.at/companionvolumetoolbox" TargetMode="External"/><Relationship Id="rId1" Type="http://schemas.openxmlformats.org/officeDocument/2006/relationships/hyperlink" Target="https://creativecommons.org/licenses/by-nc-sa/4.0/deed.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3411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Newby</dc:creator>
  <cp:keywords/>
  <dc:description/>
  <cp:lastModifiedBy>Marie-Therese Baehr</cp:lastModifiedBy>
  <cp:revision>5</cp:revision>
  <dcterms:created xsi:type="dcterms:W3CDTF">2023-10-30T09:19:00Z</dcterms:created>
  <dcterms:modified xsi:type="dcterms:W3CDTF">2024-06-27T13:31:00Z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47759b727c3c67241d4857e6fc31d7fe069281db91153318e6a58d6d1a9e2839</vt:lpwstr>
  </property>
</Properties>
</file>